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8llxnb5wijsd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first sign of creative burnout?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Resistance and increased effort before starting creative work.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creativity feel heavier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too much mental load is carried during creation.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cognitive overload in creative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Trying to generate, evaluate, and structure ideas simultaneously.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reduce creative fatigue?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handling structure, variation, and evaluation tasks.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